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0C" w:rsidRDefault="00B53617">
      <w:pPr>
        <w:spacing w:before="43"/>
        <w:ind w:left="3063" w:right="3131" w:firstLine="3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HYSICS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(PHYS_BS_01)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BS 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EGREE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32 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OURSE</w:t>
      </w:r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NITS</w:t>
      </w:r>
    </w:p>
    <w:p w:rsidR="00B85F0C" w:rsidRDefault="00B53617">
      <w:pPr>
        <w:spacing w:line="275" w:lineRule="exact"/>
        <w:ind w:left="3273" w:right="31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FF"/>
          <w:w w:val="105"/>
          <w:sz w:val="24"/>
        </w:rPr>
        <w:t>M</w:t>
      </w:r>
      <w:r>
        <w:rPr>
          <w:rFonts w:ascii="Times New Roman"/>
          <w:b/>
          <w:color w:val="0000FF"/>
          <w:w w:val="105"/>
          <w:sz w:val="18"/>
        </w:rPr>
        <w:t xml:space="preserve">AJOR </w:t>
      </w:r>
      <w:r>
        <w:rPr>
          <w:rFonts w:ascii="Times New Roman"/>
          <w:b/>
          <w:color w:val="0000FF"/>
          <w:w w:val="105"/>
          <w:sz w:val="24"/>
        </w:rPr>
        <w:t>C</w:t>
      </w:r>
      <w:r>
        <w:rPr>
          <w:rFonts w:ascii="Times New Roman"/>
          <w:b/>
          <w:color w:val="0000FF"/>
          <w:w w:val="105"/>
          <w:sz w:val="18"/>
        </w:rPr>
        <w:t>OURSE</w:t>
      </w:r>
      <w:r>
        <w:rPr>
          <w:rFonts w:ascii="Times New Roman"/>
          <w:b/>
          <w:color w:val="0000FF"/>
          <w:spacing w:val="-24"/>
          <w:w w:val="105"/>
          <w:sz w:val="18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R</w:t>
      </w:r>
      <w:r>
        <w:rPr>
          <w:rFonts w:ascii="Times New Roman"/>
          <w:b/>
          <w:color w:val="0000FF"/>
          <w:w w:val="105"/>
          <w:sz w:val="18"/>
        </w:rPr>
        <w:t>EQUIREMENTS</w:t>
      </w:r>
    </w:p>
    <w:p w:rsidR="00B85F0C" w:rsidRDefault="00B53617" w:rsidP="007F4932">
      <w:pPr>
        <w:pStyle w:val="BodyText"/>
        <w:ind w:right="2209"/>
        <w:jc w:val="center"/>
        <w:rPr>
          <w:rFonts w:cs="Times New Roman"/>
          <w:sz w:val="27"/>
          <w:szCs w:val="27"/>
        </w:rPr>
      </w:pPr>
      <w:r>
        <w:rPr>
          <w:w w:val="105"/>
        </w:rPr>
        <w:t>Fulfill via completion of course requirements in three</w:t>
      </w:r>
      <w:r>
        <w:rPr>
          <w:spacing w:val="-26"/>
          <w:w w:val="105"/>
        </w:rPr>
        <w:t xml:space="preserve"> </w:t>
      </w:r>
      <w:r>
        <w:rPr>
          <w:w w:val="105"/>
        </w:rPr>
        <w:t>categories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600"/>
        <w:gridCol w:w="2880"/>
      </w:tblGrid>
      <w:tr w:rsidR="00B85F0C">
        <w:trPr>
          <w:trHeight w:hRule="exact" w:val="42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Core</w:t>
            </w:r>
            <w:r>
              <w:rPr>
                <w:rFonts w:ascii="Times New Roman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Courses</w:t>
            </w:r>
          </w:p>
          <w:p w:rsidR="00B85F0C" w:rsidRDefault="00B5361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(7)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Major Options or Specialization</w:t>
            </w:r>
            <w:r>
              <w:rPr>
                <w:rFonts w:ascii="Times New Roman"/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Courses</w:t>
            </w:r>
          </w:p>
          <w:p w:rsidR="00B85F0C" w:rsidRDefault="00B53617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(10</w:t>
            </w:r>
            <w:r w:rsidR="007F4932">
              <w:rPr>
                <w:rFonts w:ascii="Times New Roman"/>
                <w:w w:val="105"/>
                <w:sz w:val="17"/>
              </w:rPr>
              <w:t xml:space="preserve"> Course Units</w:t>
            </w:r>
            <w:r>
              <w:rPr>
                <w:rFonts w:ascii="Times New Roman"/>
                <w:w w:val="105"/>
                <w:sz w:val="17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Correlate</w:t>
            </w:r>
            <w:r>
              <w:rPr>
                <w:rFonts w:ascii="Times New Roman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Courses</w:t>
            </w:r>
          </w:p>
          <w:p w:rsidR="00B85F0C" w:rsidRDefault="00B53617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(2)</w:t>
            </w:r>
          </w:p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099 – Orientation Seminar (0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cred)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 Physics option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courses*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MAT 127 – Calculus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</w:p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203 – Physics I for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Physicists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 Specialization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options**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MAT 128 – Calculus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</w:t>
            </w:r>
          </w:p>
        </w:tc>
      </w:tr>
      <w:tr w:rsidR="00B85F0C">
        <w:trPr>
          <w:trHeight w:hRule="exact" w:val="22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204 – Physics II for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Physicists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Capstone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course***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306 – Mathematical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Physics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321 – Modern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Physics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401 – Classical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Mechanics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356 – Thermal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Physics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2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421 – Electromagnetic Theory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 w:rsidTr="00861E3A">
        <w:trPr>
          <w:trHeight w:hRule="exact" w:val="87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105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PHY 299 – Research Fundamentals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Seminar (0.25 credits, required only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students matriculating Fall 2015 or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later)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2" w:rsidRPr="00861E3A" w:rsidRDefault="00B53617" w:rsidP="00861E3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>* All 5 options must be 200+ level PHY course</w:t>
            </w:r>
            <w:r w:rsidR="007F4932" w:rsidRPr="00861E3A">
              <w:rPr>
                <w:rFonts w:ascii="Times New Roman" w:hAnsi="Times New Roman" w:cs="Times New Roman"/>
                <w:sz w:val="17"/>
                <w:szCs w:val="17"/>
              </w:rPr>
              <w:t>s. 2 courses must include a lab chosen from PHY 311, 345, 411, 451</w:t>
            </w:r>
            <w:r w:rsidR="00861E3A"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7F4932"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85F0C" w:rsidRPr="00861E3A" w:rsidRDefault="00B53617" w:rsidP="00861E3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 w:rsidR="007F4932" w:rsidRPr="00861E3A">
              <w:rPr>
                <w:rFonts w:ascii="Times New Roman" w:hAnsi="Times New Roman" w:cs="Times New Roman"/>
                <w:sz w:val="17"/>
                <w:szCs w:val="17"/>
              </w:rPr>
              <w:t>course</w:t>
            </w: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 may be </w:t>
            </w:r>
            <w:r w:rsidR="007F4932" w:rsidRPr="00861E3A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 xml:space="preserve">ndependent </w:t>
            </w:r>
            <w:r w:rsidR="007F4932" w:rsidRPr="00861E3A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861E3A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bookmarkStart w:id="0" w:name="_GoBack"/>
            <w:bookmarkEnd w:id="0"/>
            <w:r w:rsidRPr="00861E3A">
              <w:rPr>
                <w:rFonts w:ascii="Times New Roman" w:hAnsi="Times New Roman" w:cs="Times New Roman"/>
                <w:sz w:val="17"/>
                <w:szCs w:val="17"/>
              </w:rPr>
              <w:t>search.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8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100" w:righ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**3 courses may be any course from 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the</w:t>
            </w:r>
            <w:r>
              <w:rPr>
                <w:rFonts w:ascii="Times New Roman"/>
                <w:spacing w:val="1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school of science or engineering, 2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courses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may be from any pre-set physics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specialization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 xml:space="preserve">list </w:t>
            </w:r>
            <w:r>
              <w:rPr>
                <w:rFonts w:ascii="Times New Roman"/>
                <w:b/>
                <w:w w:val="105"/>
                <w:sz w:val="17"/>
              </w:rPr>
              <w:t xml:space="preserve">OR </w:t>
            </w:r>
            <w:r>
              <w:rPr>
                <w:rFonts w:ascii="Times New Roman"/>
                <w:w w:val="105"/>
                <w:sz w:val="17"/>
              </w:rPr>
              <w:t>any 200+ level school of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Sci./Eng.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 w:rsidTr="00861E3A">
        <w:trPr>
          <w:trHeight w:hRule="exact" w:val="68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***PHY 493, PHY451, or SED 498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(may</w:t>
            </w:r>
          </w:p>
          <w:p w:rsidR="00B85F0C" w:rsidRDefault="00B53617">
            <w:pPr>
              <w:pStyle w:val="TableParagraph"/>
              <w:spacing w:before="11" w:line="254" w:lineRule="auto"/>
              <w:ind w:left="100" w:righ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double count within Physics options</w:t>
            </w:r>
            <w:r>
              <w:rPr>
                <w:rFonts w:ascii="Times New Roman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</w:t>
            </w:r>
            <w:r>
              <w:rPr>
                <w:rFonts w:ascii="Times New Roman"/>
                <w:spacing w:val="1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Specialization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options)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835"/>
        </w:trPr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 w:rsidP="0044625B">
            <w:pPr>
              <w:pStyle w:val="TableParagraph"/>
              <w:spacing w:before="9" w:line="244" w:lineRule="auto"/>
              <w:ind w:left="105" w:righ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 xml:space="preserve">Seven-course prescribed major specializations </w:t>
            </w:r>
            <w:proofErr w:type="gramStart"/>
            <w:r>
              <w:rPr>
                <w:rFonts w:ascii="Times New Roman"/>
                <w:i/>
                <w:w w:val="105"/>
                <w:sz w:val="17"/>
              </w:rPr>
              <w:t>may be chosen</w:t>
            </w:r>
            <w:proofErr w:type="gramEnd"/>
            <w:r>
              <w:rPr>
                <w:rFonts w:ascii="Times New Roman"/>
                <w:i/>
                <w:w w:val="105"/>
                <w:sz w:val="17"/>
              </w:rPr>
              <w:t xml:space="preserve"> from within major option and specialization courses.</w:t>
            </w:r>
            <w:r>
              <w:rPr>
                <w:rFonts w:ascii="Times New Roman"/>
                <w:i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Prescribed</w:t>
            </w:r>
            <w:r>
              <w:rPr>
                <w:rFonts w:ascii="Times New Roman"/>
                <w:i/>
                <w:spacing w:val="1"/>
                <w:w w:val="104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specializations are available in Pre-graduate Physics, Biomedical Physics, Computational Physics, Condensed Matter,</w:t>
            </w:r>
            <w:r>
              <w:rPr>
                <w:rFonts w:ascii="Times New Roman"/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Geophysics,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Astrophysics,</w:t>
            </w:r>
            <w:r>
              <w:rPr>
                <w:rFonts w:ascii="Times New Roman"/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and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Physical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science-Secondary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Education.</w:t>
            </w:r>
            <w:r>
              <w:rPr>
                <w:rFonts w:ascii="Times New Roman"/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These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are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outlined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on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the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department</w:t>
            </w:r>
            <w:r>
              <w:rPr>
                <w:rFonts w:ascii="Times New Roman"/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website,</w:t>
            </w:r>
            <w:r>
              <w:rPr>
                <w:rFonts w:ascii="Times New Roman"/>
                <w:i/>
                <w:spacing w:val="3"/>
                <w:w w:val="105"/>
                <w:sz w:val="17"/>
              </w:rPr>
              <w:t xml:space="preserve"> </w:t>
            </w:r>
            <w:hyperlink r:id="rId6" w:history="1">
              <w:r w:rsidR="0044625B" w:rsidRPr="0044625B">
                <w:rPr>
                  <w:rStyle w:val="Hyperlink"/>
                  <w:rFonts w:ascii="Times New Roman" w:eastAsia="Cambria" w:hAnsi="Times New Roman"/>
                  <w:i/>
                  <w:sz w:val="18"/>
                  <w:szCs w:val="24"/>
                </w:rPr>
                <w:t>http://physics.tcnj.edu/academics/programs/</w:t>
              </w:r>
            </w:hyperlink>
            <w:r w:rsidR="0044625B">
              <w:rPr>
                <w:rFonts w:ascii="Times New Roman" w:eastAsia="Cambria" w:hAnsi="Times New Roman"/>
                <w:i/>
                <w:sz w:val="18"/>
                <w:szCs w:val="24"/>
              </w:rPr>
              <w:t>.</w:t>
            </w:r>
          </w:p>
        </w:tc>
      </w:tr>
    </w:tbl>
    <w:p w:rsidR="00B85F0C" w:rsidRDefault="00B53617">
      <w:pPr>
        <w:spacing w:line="273" w:lineRule="exact"/>
        <w:ind w:left="2144" w:right="22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FF"/>
          <w:w w:val="105"/>
          <w:sz w:val="24"/>
        </w:rPr>
        <w:t>L</w:t>
      </w:r>
      <w:r>
        <w:rPr>
          <w:rFonts w:ascii="Times New Roman"/>
          <w:b/>
          <w:color w:val="0000FF"/>
          <w:w w:val="105"/>
          <w:sz w:val="18"/>
        </w:rPr>
        <w:t xml:space="preserve">IBERAL </w:t>
      </w:r>
      <w:r>
        <w:rPr>
          <w:rFonts w:ascii="Times New Roman"/>
          <w:b/>
          <w:color w:val="0000FF"/>
          <w:w w:val="105"/>
          <w:sz w:val="24"/>
        </w:rPr>
        <w:t>L</w:t>
      </w:r>
      <w:r>
        <w:rPr>
          <w:rFonts w:ascii="Times New Roman"/>
          <w:b/>
          <w:color w:val="0000FF"/>
          <w:w w:val="105"/>
          <w:sz w:val="18"/>
        </w:rPr>
        <w:t>EARNING</w:t>
      </w:r>
      <w:r>
        <w:rPr>
          <w:rFonts w:ascii="Times New Roman"/>
          <w:b/>
          <w:color w:val="0000FF"/>
          <w:spacing w:val="-17"/>
          <w:w w:val="105"/>
          <w:sz w:val="18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R</w:t>
      </w:r>
      <w:r>
        <w:rPr>
          <w:rFonts w:ascii="Times New Roman"/>
          <w:b/>
          <w:color w:val="0000FF"/>
          <w:w w:val="105"/>
          <w:sz w:val="18"/>
        </w:rPr>
        <w:t>EQUIREMENTS</w:t>
      </w:r>
    </w:p>
    <w:p w:rsidR="00B85F0C" w:rsidRDefault="00B53617">
      <w:pPr>
        <w:pStyle w:val="BodyText"/>
        <w:spacing w:before="15"/>
        <w:ind w:right="2209"/>
        <w:jc w:val="center"/>
      </w:pPr>
      <w:r>
        <w:rPr>
          <w:w w:val="105"/>
        </w:rPr>
        <w:t>Fulfill via completing course requirements in one of four</w:t>
      </w:r>
      <w:r>
        <w:rPr>
          <w:spacing w:val="-27"/>
          <w:w w:val="105"/>
        </w:rPr>
        <w:t xml:space="preserve"> </w:t>
      </w:r>
      <w:r>
        <w:rPr>
          <w:w w:val="105"/>
        </w:rPr>
        <w:t>options:</w:t>
      </w:r>
    </w:p>
    <w:p w:rsidR="00B85F0C" w:rsidRDefault="00B53617">
      <w:pPr>
        <w:spacing w:before="5"/>
        <w:ind w:left="225" w:right="31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Option 1 – Breadth Distribution from Approved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List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691"/>
        <w:gridCol w:w="2880"/>
      </w:tblGrid>
      <w:tr w:rsidR="00B85F0C">
        <w:trPr>
          <w:trHeight w:hRule="exact" w:val="8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Arts &amp;</w:t>
            </w:r>
            <w:r>
              <w:rPr>
                <w:rFonts w:ascii="Times New Roman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Humanities</w:t>
            </w:r>
          </w:p>
          <w:p w:rsidR="00B85F0C" w:rsidRDefault="00B5361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(2 or 3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courses)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Social Science &amp;</w:t>
            </w:r>
            <w:r>
              <w:rPr>
                <w:rFonts w:ascii="Times New Roman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History</w:t>
            </w:r>
          </w:p>
          <w:p w:rsidR="00B85F0C" w:rsidRDefault="00B53617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(2 or 3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9" w:line="254" w:lineRule="auto"/>
              <w:ind w:left="185" w:righ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Natural Sciences &amp;</w:t>
            </w:r>
            <w:r>
              <w:rPr>
                <w:rFonts w:ascii="Times New Roman"/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Quantitative</w:t>
            </w:r>
            <w:r>
              <w:rPr>
                <w:rFonts w:ascii="Times New Roman"/>
                <w:b/>
                <w:w w:val="104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Reasoning</w:t>
            </w:r>
          </w:p>
          <w:p w:rsidR="00B85F0C" w:rsidRDefault="00B53617">
            <w:pPr>
              <w:pStyle w:val="TableParagraph"/>
              <w:spacing w:before="4" w:line="254" w:lineRule="auto"/>
              <w:ind w:left="245" w:right="2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(Requirements fulfilled by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major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course)</w:t>
            </w:r>
          </w:p>
        </w:tc>
      </w:tr>
      <w:tr w:rsidR="00B85F0C">
        <w:trPr>
          <w:trHeight w:hRule="exact" w:val="4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5" w:right="366" w:hanging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Literary, Visual, or Performing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Arts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0" w:right="429" w:hanging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Behavioral, Social, or Cultural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Perspectives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Natural Science course (with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lab)</w:t>
            </w:r>
          </w:p>
        </w:tc>
      </w:tr>
      <w:tr w:rsidR="00B85F0C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World Views/Ways of Knowing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Social Changes in Historical Perspective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Quantitative Reasoning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</w:tr>
      <w:tr w:rsidR="00B85F0C">
        <w:trPr>
          <w:trHeight w:hRule="exact" w:val="8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5" w:right="181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FSP or Literary, Visual, or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Performing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Arts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  <w:p w:rsidR="00B85F0C" w:rsidRDefault="00B53617">
            <w:pPr>
              <w:pStyle w:val="TableParagraph"/>
              <w:spacing w:before="4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single" w:color="000000"/>
              </w:rPr>
              <w:t>or</w:t>
            </w:r>
          </w:p>
          <w:p w:rsidR="00B85F0C" w:rsidRDefault="00B53617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World Views/Ways of Knowing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0" w:right="834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FSP or Behavioral, Social, or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Cultural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Perspectives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  <w:p w:rsidR="00B85F0C" w:rsidRDefault="00B53617">
            <w:pPr>
              <w:pStyle w:val="TableParagraph"/>
              <w:spacing w:before="4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single" w:color="000000"/>
              </w:rPr>
              <w:t>or</w:t>
            </w:r>
          </w:p>
          <w:p w:rsidR="00B85F0C" w:rsidRDefault="00B53617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Social Changes in Historical Perspective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325" w:right="1108" w:hanging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Natural Science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or</w:t>
            </w:r>
          </w:p>
          <w:p w:rsidR="00B85F0C" w:rsidRDefault="00B53617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Quantitative Reasoning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</w:tr>
    </w:tbl>
    <w:p w:rsidR="00B85F0C" w:rsidRDefault="00B53617">
      <w:pPr>
        <w:spacing w:before="9"/>
        <w:ind w:left="228" w:right="17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Option 2 – Designated Interdisciplinary Concentration (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see</w:t>
      </w:r>
      <w:r w:rsidR="0044625B"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hyperlink r:id="rId7" w:history="1">
        <w:r w:rsidRPr="0044625B">
          <w:rPr>
            <w:rStyle w:val="Hyperlink"/>
            <w:rFonts w:ascii="Times New Roman" w:eastAsia="Times New Roman" w:hAnsi="Times New Roman" w:cs="Times New Roman"/>
            <w:w w:val="105"/>
            <w:sz w:val="17"/>
            <w:szCs w:val="17"/>
          </w:rPr>
          <w:t>https://liberallearning.tcnj.edu/courses-information/interdisciplinary-concentrations/</w:t>
        </w:r>
      </w:hyperlink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)</w:t>
      </w:r>
    </w:p>
    <w:p w:rsidR="00B85F0C" w:rsidRDefault="00B53617">
      <w:pPr>
        <w:spacing w:before="14"/>
        <w:ind w:left="228" w:right="16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Option 3– Self-designed Interdisciplinary Concentration (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hyperlink r:id="rId8" w:history="1">
        <w:r w:rsidRPr="0044625B">
          <w:rPr>
            <w:rStyle w:val="Hyperlink"/>
            <w:rFonts w:ascii="Times New Roman" w:eastAsia="Times New Roman" w:hAnsi="Times New Roman" w:cs="Times New Roman"/>
            <w:w w:val="105"/>
            <w:sz w:val="17"/>
            <w:szCs w:val="17"/>
          </w:rPr>
          <w:t>https://liberallearning.tcnj.edu/courses-information/interdisciplinary-concentrations/</w:t>
        </w:r>
      </w:hyperlink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)</w:t>
      </w:r>
    </w:p>
    <w:p w:rsidR="00B85F0C" w:rsidRDefault="00B53617">
      <w:pPr>
        <w:spacing w:line="216" w:lineRule="exact"/>
        <w:ind w:left="228" w:right="31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Option 4 – Second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Major</w:t>
      </w:r>
    </w:p>
    <w:p w:rsidR="00B85F0C" w:rsidRDefault="00B53617">
      <w:pPr>
        <w:spacing w:before="77"/>
        <w:ind w:left="2142" w:right="17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FF"/>
          <w:w w:val="105"/>
          <w:sz w:val="24"/>
        </w:rPr>
        <w:t>C</w:t>
      </w:r>
      <w:r>
        <w:rPr>
          <w:rFonts w:ascii="Times New Roman"/>
          <w:b/>
          <w:color w:val="0000FF"/>
          <w:w w:val="105"/>
          <w:sz w:val="18"/>
        </w:rPr>
        <w:t>IVIC</w:t>
      </w:r>
      <w:r>
        <w:rPr>
          <w:rFonts w:ascii="Times New Roman"/>
          <w:b/>
          <w:color w:val="0000FF"/>
          <w:spacing w:val="-9"/>
          <w:w w:val="105"/>
          <w:sz w:val="18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R</w:t>
      </w:r>
      <w:r>
        <w:rPr>
          <w:rFonts w:ascii="Times New Roman"/>
          <w:b/>
          <w:color w:val="0000FF"/>
          <w:w w:val="105"/>
          <w:sz w:val="18"/>
        </w:rPr>
        <w:t>ESPONSIBILITIES</w:t>
      </w:r>
      <w:r>
        <w:rPr>
          <w:rFonts w:ascii="Times New Roman"/>
          <w:b/>
          <w:color w:val="0000FF"/>
          <w:w w:val="105"/>
          <w:sz w:val="24"/>
        </w:rPr>
        <w:t>,</w:t>
      </w:r>
      <w:r>
        <w:rPr>
          <w:rFonts w:ascii="Times New Roman"/>
          <w:b/>
          <w:color w:val="0000FF"/>
          <w:spacing w:val="-26"/>
          <w:w w:val="105"/>
          <w:sz w:val="24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P</w:t>
      </w:r>
      <w:r>
        <w:rPr>
          <w:rFonts w:ascii="Times New Roman"/>
          <w:b/>
          <w:color w:val="0000FF"/>
          <w:w w:val="105"/>
          <w:sz w:val="18"/>
        </w:rPr>
        <w:t>ROFICIENCIES</w:t>
      </w:r>
      <w:r>
        <w:rPr>
          <w:rFonts w:ascii="Times New Roman"/>
          <w:b/>
          <w:color w:val="0000FF"/>
          <w:spacing w:val="-10"/>
          <w:w w:val="105"/>
          <w:sz w:val="18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&amp;</w:t>
      </w:r>
      <w:r>
        <w:rPr>
          <w:rFonts w:ascii="Times New Roman"/>
          <w:b/>
          <w:color w:val="0000FF"/>
          <w:spacing w:val="-26"/>
          <w:w w:val="105"/>
          <w:sz w:val="24"/>
        </w:rPr>
        <w:t xml:space="preserve"> </w:t>
      </w:r>
      <w:r>
        <w:rPr>
          <w:rFonts w:ascii="Times New Roman"/>
          <w:b/>
          <w:color w:val="0000FF"/>
          <w:w w:val="105"/>
          <w:sz w:val="24"/>
        </w:rPr>
        <w:t>E</w:t>
      </w:r>
      <w:r>
        <w:rPr>
          <w:rFonts w:ascii="Times New Roman"/>
          <w:b/>
          <w:color w:val="0000FF"/>
          <w:w w:val="105"/>
          <w:sz w:val="18"/>
        </w:rPr>
        <w:t>LECTIVES</w:t>
      </w:r>
    </w:p>
    <w:p w:rsidR="00B85F0C" w:rsidRDefault="00B53617">
      <w:pPr>
        <w:pStyle w:val="BodyText"/>
        <w:ind w:left="2205" w:right="1723"/>
      </w:pPr>
      <w:r>
        <w:rPr>
          <w:w w:val="105"/>
        </w:rPr>
        <w:t>Fulfill via completion of course requirements in three</w:t>
      </w:r>
      <w:r>
        <w:rPr>
          <w:spacing w:val="-26"/>
          <w:w w:val="105"/>
        </w:rPr>
        <w:t xml:space="preserve"> </w:t>
      </w:r>
      <w:r>
        <w:rPr>
          <w:w w:val="105"/>
        </w:rPr>
        <w:t>categories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960"/>
        <w:gridCol w:w="2434"/>
      </w:tblGrid>
      <w:tr w:rsidR="00B85F0C">
        <w:trPr>
          <w:trHeight w:hRule="exact" w:val="2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11"/>
              <w:ind w:left="8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Civic</w:t>
            </w:r>
            <w:r>
              <w:rPr>
                <w:rFonts w:ascii="Times New Roman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Responsibilities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11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Intellectual &amp; Scholarly</w:t>
            </w:r>
            <w:r>
              <w:rPr>
                <w:rFonts w:ascii="Times New Roman"/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Growth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5F0C" w:rsidRDefault="00B5361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Electives</w:t>
            </w:r>
          </w:p>
        </w:tc>
      </w:tr>
      <w:tr w:rsidR="00B85F0C"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5" w:right="12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IDS 103 – Community Engaged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Learning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7"/>
                <w:szCs w:val="17"/>
              </w:rPr>
              <w:t>zero-credit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7"/>
                <w:szCs w:val="17"/>
              </w:rPr>
              <w:t>requirement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 w:line="254" w:lineRule="auto"/>
              <w:ind w:left="285" w:right="494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IDS 102 – Information Literacy online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tutorial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7"/>
                <w:szCs w:val="17"/>
              </w:rPr>
              <w:t>zero-credit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7"/>
                <w:szCs w:val="17"/>
              </w:rPr>
              <w:t>requirement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Elective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</w:tr>
      <w:tr w:rsidR="00B85F0C"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line="183" w:lineRule="exact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(WRI 101 or 102 may be required freshmen</w:t>
            </w:r>
            <w:r>
              <w:rPr>
                <w:rFonts w:ascii="Times New Roman"/>
                <w:b/>
                <w:spacing w:val="-2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year)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37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285" w:right="338" w:hanging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Concepts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(fulfilled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liberal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learning,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other courses, or sustained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experience)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Writing Intensive</w:t>
            </w:r>
            <w:r>
              <w:rPr>
                <w:rFonts w:ascii="Times New Roman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Courses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Elective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</w:tc>
      </w:tr>
      <w:tr w:rsidR="00B85F0C"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Gender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FSP First Seminar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  <w:p w:rsidR="00B85F0C" w:rsidRDefault="00B53617">
            <w:pPr>
              <w:pStyle w:val="TableParagraph"/>
              <w:spacing w:before="11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</w:t>
            </w:r>
            <w:r>
              <w:rPr>
                <w:rFonts w:ascii="Times New Roman"/>
                <w:i/>
                <w:w w:val="105"/>
                <w:sz w:val="17"/>
              </w:rPr>
              <w:t>satisfies one liberal learning</w:t>
            </w:r>
            <w:r>
              <w:rPr>
                <w:rFonts w:ascii="Times New Roman"/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requirement)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42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Global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Perspective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Mid-level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  <w:p w:rsidR="00B85F0C" w:rsidRDefault="00B53617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(usually fulfilled by option or specialization</w:t>
            </w:r>
            <w:r>
              <w:rPr>
                <w:rFonts w:ascii="Times New Roman"/>
                <w:i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course)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4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Race &amp;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Ethnicity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Capstone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</w:t>
            </w:r>
          </w:p>
          <w:p w:rsidR="00B85F0C" w:rsidRDefault="00B53617">
            <w:pPr>
              <w:pStyle w:val="TableParagraph"/>
              <w:spacing w:before="11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w w:val="105"/>
                <w:sz w:val="17"/>
              </w:rPr>
              <w:t>(usually fulfilled by option or specialization</w:t>
            </w:r>
            <w:r>
              <w:rPr>
                <w:rFonts w:ascii="Times New Roman"/>
                <w:i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i/>
                <w:w w:val="105"/>
                <w:sz w:val="17"/>
              </w:rPr>
              <w:t>course)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  <w:tr w:rsidR="00B85F0C">
        <w:trPr>
          <w:trHeight w:hRule="exact" w:val="2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53617" w:rsidP="003402DF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 xml:space="preserve">Second Language </w:t>
            </w:r>
            <w:r w:rsidR="00941BB8">
              <w:rPr>
                <w:rFonts w:ascii="Times New Roman"/>
                <w:w w:val="105"/>
                <w:sz w:val="17"/>
              </w:rPr>
              <w:t>(0-</w:t>
            </w:r>
            <w:r w:rsidR="003402DF"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courses)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0C" w:rsidRDefault="00B85F0C"/>
        </w:tc>
      </w:tr>
    </w:tbl>
    <w:p w:rsidR="00B53617" w:rsidRDefault="00B53617"/>
    <w:sectPr w:rsidR="00B53617" w:rsidSect="007F4932">
      <w:footerReference w:type="default" r:id="rId9"/>
      <w:type w:val="continuous"/>
      <w:pgSz w:w="12240" w:h="15840"/>
      <w:pgMar w:top="680" w:right="1140" w:bottom="280" w:left="12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02" w:rsidRDefault="00385202" w:rsidP="007F4932">
      <w:r>
        <w:separator/>
      </w:r>
    </w:p>
  </w:endnote>
  <w:endnote w:type="continuationSeparator" w:id="0">
    <w:p w:rsidR="00385202" w:rsidRDefault="00385202" w:rsidP="007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32" w:rsidRDefault="007F4932">
    <w:pPr>
      <w:pStyle w:val="Footer"/>
    </w:pPr>
    <w:r>
      <w:t>September 13,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02" w:rsidRDefault="00385202" w:rsidP="007F4932">
      <w:r>
        <w:separator/>
      </w:r>
    </w:p>
  </w:footnote>
  <w:footnote w:type="continuationSeparator" w:id="0">
    <w:p w:rsidR="00385202" w:rsidRDefault="00385202" w:rsidP="007F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C"/>
    <w:rsid w:val="002B5E6E"/>
    <w:rsid w:val="003402DF"/>
    <w:rsid w:val="00385202"/>
    <w:rsid w:val="0044625B"/>
    <w:rsid w:val="007F4932"/>
    <w:rsid w:val="00861E3A"/>
    <w:rsid w:val="008B38FF"/>
    <w:rsid w:val="00941BB8"/>
    <w:rsid w:val="00B53617"/>
    <w:rsid w:val="00B85F0C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F846"/>
  <w15:docId w15:val="{490D4348-609A-42B3-894F-463A6C2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14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62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32"/>
  </w:style>
  <w:style w:type="paragraph" w:styleId="Footer">
    <w:name w:val="footer"/>
    <w:basedOn w:val="Normal"/>
    <w:link w:val="FooterChar"/>
    <w:uiPriority w:val="99"/>
    <w:unhideWhenUsed/>
    <w:rsid w:val="007F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allearning.tcnj.edu/courses-information/interdisciplinary-concentr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erallearning.tcnj.edu/courses-information/interdisciplinary-concentr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tcnj.edu/academics/program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Calu</dc:creator>
  <cp:lastModifiedBy>The College of New Jersey</cp:lastModifiedBy>
  <cp:revision>6</cp:revision>
  <cp:lastPrinted>2017-05-24T19:50:00Z</cp:lastPrinted>
  <dcterms:created xsi:type="dcterms:W3CDTF">2015-10-01T17:56:00Z</dcterms:created>
  <dcterms:modified xsi:type="dcterms:W3CDTF">2017-09-13T20:00:00Z</dcterms:modified>
</cp:coreProperties>
</file>